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2024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化学与化工学院    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王 贝   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讲 师         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55553AF5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化 学                      </w:t>
      </w: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教学科研型副教授  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13036021658  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2025年 6月 10日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54ED3FCF">
      <w:pPr>
        <w:jc w:val="center"/>
        <w:rPr>
          <w:rFonts w:eastAsia="黑体"/>
          <w:sz w:val="44"/>
        </w:rPr>
      </w:pP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王贝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1992．12 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群众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0" w:name="_GoBack"/>
            <w:bookmarkEnd w:id="0"/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AD53B6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</w:t>
            </w:r>
          </w:p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中国科学技术大学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高分子化学与物理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2020．11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正常晋升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</w:t>
            </w:r>
          </w:p>
          <w:p w14:paraId="1E5D23C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2021.12.31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时间：2021.3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3年9个月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-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80201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</w:t>
            </w:r>
          </w:p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2015.09-2020.06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研究生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中国科学技术大学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应用化学与工程学院高分子化学与物理专业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谢志元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2011.09-2015.06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本科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合肥工业大学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化学与化工学院高分子材料与工程专业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张伟</w:t>
            </w:r>
          </w:p>
        </w:tc>
      </w:tr>
    </w:tbl>
    <w:p w14:paraId="4714A8C2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2020年11月至今</w:t>
            </w:r>
          </w:p>
        </w:tc>
        <w:tc>
          <w:tcPr>
            <w:tcW w:w="3265" w:type="dxa"/>
          </w:tcPr>
          <w:p w14:paraId="06B6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海南师范大学化学与化工学院</w:t>
            </w:r>
          </w:p>
        </w:tc>
        <w:tc>
          <w:tcPr>
            <w:tcW w:w="2410" w:type="dxa"/>
          </w:tcPr>
          <w:p w14:paraId="2442C7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化学，教师</w:t>
            </w:r>
          </w:p>
        </w:tc>
        <w:tc>
          <w:tcPr>
            <w:tcW w:w="1701" w:type="dxa"/>
          </w:tcPr>
          <w:p w14:paraId="0E42F4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</w:tbl>
    <w:p w14:paraId="6F28E07E"/>
    <w:p w14:paraId="11EEA1A0"/>
    <w:p w14:paraId="4CC8004D"/>
    <w:p w14:paraId="04AA9E41"/>
    <w:p w14:paraId="4806F122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1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spacing w:line="360" w:lineRule="auto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该同志坚定理想信念，忠诚于党的教育事业，自觉践行核心价值观，为人师表，立德树人。师德师风方面恪守职业道德，关心爱护学生，严谨治学，廉洁从教，与其他同事团结互助，展现了高尚的师德风范和卓越的职业素养。</w:t>
            </w:r>
          </w:p>
          <w:p w14:paraId="7006757D">
            <w:pPr>
              <w:widowControl/>
              <w:spacing w:line="360" w:lineRule="auto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不定等级/合格/合格/合格/优秀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合格/合格/优秀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无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8E9F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2021.3-2023.3</w:t>
            </w:r>
          </w:p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化学与化工学院硕士研究生班主任</w:t>
            </w: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"/>
        <w:gridCol w:w="2694"/>
        <w:gridCol w:w="1559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872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218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574 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143.5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298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74.5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100 %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良好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 4 ）届；或担任本科生创新创业活动（5）项；或担任本科生专业竞赛指导（1）项；或担任本科生开展寒暑假社会实践（0）项。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 w:val="24"/>
                <w:szCs w:val="28"/>
              </w:rPr>
              <w:t>无机化学实验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分析化学实验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19级制药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基础化学实验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20级地化生7班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 w:val="24"/>
                <w:szCs w:val="28"/>
              </w:rPr>
              <w:t>物理化学实验一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sz w:val="24"/>
                <w:szCs w:val="28"/>
              </w:rPr>
              <w:t>物理化学实验一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19级应化2班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CA66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442E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2021-2022学年第2学期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7C784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DD312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064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6FC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47ED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36A6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76D3C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9A23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CAA1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2021-2022学年第2学期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B60009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物理化学实验二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C1E6F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82E8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E300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5BA3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931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0B900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1775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07D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2021-2022学年第2学期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8458B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物理化学实验二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B176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19级应化1班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9E7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F3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F651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E14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2D2F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8371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F844B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530B62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计算机专业应用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89C26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20级地化生7班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26D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EA3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666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0C6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F3ACC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B07A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2C4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DEC58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计算机专业应用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BC46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20级地化生8班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461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C4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0A8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1473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5514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6767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F13B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A426D2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分析化学实验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21D94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19级制药1班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A8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D138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1FD5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361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750CB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07AA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CEE8B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4834BE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分析化学实验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C4C9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19级制药2班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287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BD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0D0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FD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D2D6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A0AE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09A8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753552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无机化学实验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B429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22级地化生5班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40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A1E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BEB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04B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61B28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E37F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397C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A5296D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计算机专业应用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34390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22级地化生5班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3ED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761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113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8A3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6D50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3D1E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F5E1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F94A09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计算机专业应用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9FF27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22级地化生8班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E6A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99E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9B9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74F7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7F7C5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B20E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9F3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FC8BEB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0A42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23级化学3班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D6F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48C1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FC7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DD2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AF7B7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2B39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15670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2023-2024学年第2学期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DDE2B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C8F7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080B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637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1FF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93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940C9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AF06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A7C1E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2024-2025学年第1学期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585ED2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A628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24级化学1班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80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51B4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21D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5E5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18228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AC1C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F4A6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B60113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3FD75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F5D4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41B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88D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54C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6A4AB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574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龚雨彤、李冰航、何苗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(大创)三聚氰胺法制备石墨相氮化碳及其光催化性能研究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吴汉杰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1CC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214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B1BB1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(大创)尿素法制备石墨相氮化碳及其光催化性能研究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27B4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洪勋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12A3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5EE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F0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D8E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ECD5A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485D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8B15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2821F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C900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蔡慧、王成忠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EB7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C6B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F5B8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159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B193F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3D0B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EA0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D91C0D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609F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曾楠、洪勋、颊益琦、贾珊珊、吴汉杰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8600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DC7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AAF8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B69E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F9FFA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D0E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43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2022-2023学年第2学期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97D1C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(大创)</w:t>
            </w:r>
            <w:r>
              <w:rPr>
                <w:rFonts w:hint="eastAsia" w:ascii="宋体" w:hAnsi="宋体" w:cs="宋体"/>
                <w:szCs w:val="21"/>
              </w:rPr>
              <w:t>基于功能基团修饰的石墨相氮化碳光催化剂制备、性能与机理研究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76A1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从杰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D503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C1F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C9A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818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C230A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BFD5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2E6F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C2A11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BAF27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王倩、王滋健、谢金乾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27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E19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5B7D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B960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27E80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B97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270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85E986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(大创)</w:t>
            </w:r>
            <w:r>
              <w:rPr>
                <w:rFonts w:hint="eastAsia" w:ascii="宋体" w:hAnsi="宋体" w:cs="宋体"/>
                <w:szCs w:val="21"/>
              </w:rPr>
              <w:t>石墨/氮化碳基复合光催化剂在光降解微塑料中的应用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C7314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罗小慧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7EF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76A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5D6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6FA8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D508A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3B9B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3463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2023-2024学年第2学期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C1990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(大创)</w:t>
            </w:r>
            <w:r>
              <w:rPr>
                <w:rFonts w:hint="eastAsia" w:ascii="宋体" w:hAnsi="宋体" w:cs="宋体"/>
                <w:szCs w:val="21"/>
              </w:rPr>
              <w:t>动物毛发生物质碳/氮化碳基复合光催化剂降解微塑料研究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DE8F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谢慧丽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DEF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309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7C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4A86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2D238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AFAE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5ED4">
            <w:pPr>
              <w:widowControl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2023-2024学年第1学期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A9C6C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临高驻点实习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C93DF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8CF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512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8021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D36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3E95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12F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E9C1E">
            <w:pPr>
              <w:widowControl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2024-2025学年第1学期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97E72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临高驻点实习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B2B6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6B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03B3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BE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E7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B19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298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C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指导本科生 毕业论文13人，协助指导研究生毕业1人，指导大学生创新项目5项，带队驻点实习共计16周。</w:t>
            </w:r>
          </w:p>
          <w:p w14:paraId="201AFBA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3A8D3E8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</w:tcPr>
          <w:p w14:paraId="7A8C4691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137A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p w14:paraId="256F35A6">
      <w:pPr>
        <w:spacing w:before="156" w:beforeLines="50"/>
      </w:pP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1450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1350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53.3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46.7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1950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429"/>
        <w:gridCol w:w="803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r>
              <w:rPr>
                <w:rFonts w:hint="eastAsia"/>
              </w:rPr>
              <w:t>E3</w:t>
            </w: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5EFACA0">
            <w:r>
              <w:rPr>
                <w:rFonts w:hint="eastAsia"/>
              </w:rPr>
              <w:t>双层有机太阳能电池的活性层形貌调控与机理研究</w:t>
            </w:r>
          </w:p>
        </w:tc>
        <w:tc>
          <w:tcPr>
            <w:tcW w:w="803" w:type="dxa"/>
            <w:tcBorders>
              <w:tl2br w:val="nil"/>
              <w:tr2bl w:val="nil"/>
            </w:tcBorders>
            <w:vAlign w:val="center"/>
          </w:tcPr>
          <w:p w14:paraId="7A487CF4">
            <w:r>
              <w:rPr>
                <w:rFonts w:hint="eastAsia"/>
              </w:rPr>
              <w:t>521QN238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r>
              <w:rPr>
                <w:rFonts w:hint="eastAsia"/>
              </w:rPr>
              <w:t>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r>
              <w:rPr>
                <w:rFonts w:hint="eastAsia"/>
              </w:rPr>
              <w:t>2021年12月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r>
              <w:rPr>
                <w:rFonts w:hint="eastAsia"/>
              </w:rPr>
              <w:t>100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94DBD52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59EB9388">
            <w:r>
              <w:rPr>
                <w:rFonts w:hint="eastAsia"/>
              </w:rPr>
              <w:t>F</w:t>
            </w:r>
          </w:p>
        </w:tc>
        <w:tc>
          <w:tcPr>
            <w:tcW w:w="2429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A1222AC">
            <w:r>
              <w:rPr>
                <w:rFonts w:hint="eastAsia"/>
              </w:rPr>
              <w:t>电镀废水处理的工艺流程优化及相关技术支持</w:t>
            </w:r>
          </w:p>
        </w:tc>
        <w:tc>
          <w:tcPr>
            <w:tcW w:w="803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DED6712">
            <w:r>
              <w:t>RH2400000122</w:t>
            </w:r>
          </w:p>
        </w:tc>
        <w:tc>
          <w:tcPr>
            <w:tcW w:w="932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184C9B5">
            <w:r>
              <w:rPr>
                <w:rFonts w:hint="eastAsia"/>
              </w:rPr>
              <w:t>企业</w:t>
            </w:r>
          </w:p>
        </w:tc>
        <w:tc>
          <w:tcPr>
            <w:tcW w:w="850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AAD925E">
            <w:r>
              <w:rPr>
                <w:rFonts w:hint="eastAsia"/>
              </w:rPr>
              <w:t>2024年1月</w:t>
            </w:r>
          </w:p>
        </w:tc>
        <w:tc>
          <w:tcPr>
            <w:tcW w:w="851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CD336F4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F09FAB2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90A0D93"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15E8AF6">
            <w:r>
              <w:rPr>
                <w:rFonts w:hint="eastAsia"/>
              </w:rPr>
              <w:t>0</w:t>
            </w:r>
          </w:p>
        </w:tc>
      </w:tr>
      <w:tr w14:paraId="1872F0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continue"/>
            <w:vAlign w:val="center"/>
          </w:tcPr>
          <w:p w14:paraId="32DBDD1E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37BE9081">
            <w:r>
              <w:rPr>
                <w:rFonts w:hint="eastAsia"/>
              </w:rPr>
              <w:t>2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24BA7F14">
            <w:r>
              <w:rPr>
                <w:rFonts w:hint="eastAsia"/>
              </w:rPr>
              <w:t>F</w:t>
            </w:r>
          </w:p>
        </w:tc>
        <w:tc>
          <w:tcPr>
            <w:tcW w:w="2429" w:type="dxa"/>
            <w:tcBorders>
              <w:top w:val="single" w:color="000000" w:sz="12" w:space="0"/>
            </w:tcBorders>
            <w:vAlign w:val="center"/>
          </w:tcPr>
          <w:p w14:paraId="21A9F06B">
            <w:r>
              <w:rPr>
                <w:rFonts w:hint="eastAsia"/>
              </w:rPr>
              <w:t>网络环境下学生自主学习能力培养与评价研究-以《计算机专业应用》课程为例</w:t>
            </w:r>
          </w:p>
        </w:tc>
        <w:tc>
          <w:tcPr>
            <w:tcW w:w="803" w:type="dxa"/>
            <w:tcBorders>
              <w:top w:val="single" w:color="000000" w:sz="12" w:space="0"/>
            </w:tcBorders>
            <w:vAlign w:val="center"/>
          </w:tcPr>
          <w:p w14:paraId="0F78FDA9">
            <w:r>
              <w:t>H</w:t>
            </w:r>
            <w:r>
              <w:rPr>
                <w:rFonts w:hint="eastAsia"/>
              </w:rPr>
              <w:t>sjg2023-10</w:t>
            </w: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2FA7E622">
            <w:r>
              <w:rPr>
                <w:rFonts w:hint="eastAsia"/>
              </w:rPr>
              <w:t>学校</w:t>
            </w: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5734607F">
            <w:r>
              <w:rPr>
                <w:rFonts w:hint="eastAsia"/>
              </w:rPr>
              <w:t>2023年1月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0F66C02E">
            <w:r>
              <w:rPr>
                <w:rFonts w:hint="eastAsia"/>
              </w:rPr>
              <w:t>0.5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73E76898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0FA47ECA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34A0D0B1">
            <w:r>
              <w:rPr>
                <w:rFonts w:hint="eastAsia"/>
              </w:rPr>
              <w:t>0</w:t>
            </w:r>
          </w:p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417"/>
        <w:gridCol w:w="1817"/>
        <w:gridCol w:w="796"/>
        <w:gridCol w:w="931"/>
        <w:gridCol w:w="1202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417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817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</w:pPr>
            <w:r>
              <w:rPr>
                <w:rFonts w:hint="eastAsia"/>
              </w:rPr>
              <w:t>B级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</w:pPr>
            <w:r>
              <w:t>Wireless electrochemical sensor for the detection of phytoregulator indole-3-acetic acid using gold nanoparticles and three-dimensional reduced graphene oxide modified screen printed carbon electrode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  <w:r>
              <w:rPr>
                <w:rFonts w:hint="eastAsia"/>
              </w:rPr>
              <w:t>Talanta，2023年2月发表，2023（253）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  <w:r>
              <w:rPr>
                <w:rFonts w:hint="eastAsia"/>
              </w:rPr>
              <w:t>25%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  <w:r>
              <w:rPr>
                <w:rFonts w:hint="eastAsia"/>
              </w:rPr>
              <w:t>150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</w:pPr>
            <w:r>
              <w:rPr>
                <w:rFonts w:hint="eastAsia"/>
              </w:rPr>
              <w:t>D级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7000B062">
            <w:pPr>
              <w:widowControl/>
              <w:jc w:val="center"/>
            </w:pPr>
            <w:r>
              <w:t>Enhanced visible-light photocatalytic activity of ZrO</w:t>
            </w:r>
            <w:r>
              <w:rPr>
                <w:vertAlign w:val="subscript"/>
              </w:rPr>
              <w:t>2</w:t>
            </w:r>
            <w:r>
              <w:t xml:space="preserve">/gCN composite by </w:t>
            </w:r>
          </w:p>
          <w:p w14:paraId="0A33407D">
            <w:pPr>
              <w:widowControl/>
              <w:jc w:val="center"/>
            </w:pPr>
            <w:r>
              <w:t>introducing nitrogen vacancies with H2 plasma treatment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</w:pPr>
            <w:r>
              <w:t>Journal of Photochemistry &amp; Photobiology, A: Chemistry</w:t>
            </w:r>
            <w:r>
              <w:rPr>
                <w:rFonts w:hint="eastAsia"/>
              </w:rPr>
              <w:t>，2024年2月发表，2024（448）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</w:pPr>
            <w:r>
              <w:rPr>
                <w:rFonts w:hint="eastAsia"/>
              </w:rPr>
              <w:t>33.3%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</w:pPr>
            <w:r>
              <w:rPr>
                <w:rFonts w:hint="eastAsia"/>
              </w:rPr>
              <w:t>53.3</w:t>
            </w:r>
          </w:p>
        </w:tc>
      </w:tr>
      <w:tr w14:paraId="6D063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8C98AC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DD999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5ABAD4">
            <w:pPr>
              <w:widowControl/>
              <w:jc w:val="center"/>
            </w:pPr>
            <w:r>
              <w:rPr>
                <w:rFonts w:hint="eastAsia"/>
              </w:rPr>
              <w:t>E级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3A9CB169">
            <w:pPr>
              <w:widowControl/>
              <w:jc w:val="center"/>
            </w:pPr>
            <w:r>
              <w:t>Single</w:t>
            </w:r>
            <w:r>
              <w:rPr>
                <w:rFonts w:hint="eastAsia" w:ascii="MS Gothic" w:hAnsi="MS Gothic" w:eastAsia="MS Gothic" w:cs="MS Gothic"/>
              </w:rPr>
              <w:t>‑</w:t>
            </w:r>
            <w:r>
              <w:t>walled carbon nanohorns and cobalt@nitrogen</w:t>
            </w:r>
            <w:r>
              <w:rPr>
                <w:rFonts w:hint="eastAsia" w:ascii="MS Gothic" w:hAnsi="MS Gothic" w:eastAsia="MS Gothic" w:cs="MS Gothic"/>
              </w:rPr>
              <w:t>‑</w:t>
            </w:r>
            <w:r>
              <w:t xml:space="preserve">doped </w:t>
            </w:r>
          </w:p>
          <w:p w14:paraId="284EEB01">
            <w:pPr>
              <w:widowControl/>
              <w:jc w:val="center"/>
            </w:pPr>
            <w:r>
              <w:t xml:space="preserve">carbon nanotube polyhedrons modifed electrode as sensitive </w:t>
            </w:r>
          </w:p>
          <w:p w14:paraId="59BE49F4">
            <w:pPr>
              <w:widowControl/>
              <w:jc w:val="center"/>
            </w:pPr>
            <w:r>
              <w:t>electrochemical sensing platform for luteolin detection</w:t>
            </w:r>
          </w:p>
        </w:tc>
        <w:tc>
          <w:tcPr>
            <w:tcW w:w="1817" w:type="dxa"/>
            <w:tcBorders>
              <w:tl2br w:val="nil"/>
              <w:tr2bl w:val="nil"/>
            </w:tcBorders>
          </w:tcPr>
          <w:p w14:paraId="742807E7">
            <w:pPr>
              <w:widowControl/>
              <w:jc w:val="center"/>
            </w:pPr>
            <w:r>
              <w:t>Journal of the Iranian Chemical Society</w:t>
            </w:r>
            <w:r>
              <w:rPr>
                <w:rFonts w:hint="eastAsia"/>
              </w:rPr>
              <w:t>，2023年1月发表， 2023（20）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EC42932">
            <w:pPr>
              <w:widowControl/>
              <w:jc w:val="center"/>
            </w:pPr>
            <w:r>
              <w:rPr>
                <w:rFonts w:hint="eastAsia"/>
              </w:rPr>
              <w:t>25%</w:t>
            </w:r>
          </w:p>
        </w:tc>
        <w:tc>
          <w:tcPr>
            <w:tcW w:w="931" w:type="dxa"/>
            <w:tcBorders>
              <w:tl2br w:val="nil"/>
              <w:tr2bl w:val="nil"/>
            </w:tcBorders>
          </w:tcPr>
          <w:p w14:paraId="066D3BCF">
            <w:pPr>
              <w:widowControl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02" w:type="dxa"/>
            <w:tcBorders>
              <w:tl2br w:val="nil"/>
              <w:tr2bl w:val="nil"/>
            </w:tcBorders>
          </w:tcPr>
          <w:p w14:paraId="279C231B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BFB9169">
            <w:pPr>
              <w:widowControl/>
              <w:jc w:val="center"/>
            </w:pPr>
            <w:r>
              <w:rPr>
                <w:rFonts w:hint="eastAsia"/>
              </w:rPr>
              <w:t>20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44934FB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</w:pPr>
            <w:r>
              <w:rPr>
                <w:rFonts w:hint="eastAsia"/>
              </w:rPr>
              <w:t>E级</w:t>
            </w:r>
          </w:p>
        </w:tc>
        <w:tc>
          <w:tcPr>
            <w:tcW w:w="2417" w:type="dxa"/>
            <w:tcBorders>
              <w:bottom w:val="single" w:color="000000" w:sz="12" w:space="0"/>
              <w:tl2br w:val="nil"/>
              <w:tr2bl w:val="nil"/>
            </w:tcBorders>
          </w:tcPr>
          <w:p w14:paraId="7CBC4581">
            <w:pPr>
              <w:widowControl/>
              <w:jc w:val="center"/>
            </w:pPr>
            <w:r>
              <w:t>Insight into impact of ZrO</w:t>
            </w:r>
            <w:r>
              <w:rPr>
                <w:vertAlign w:val="subscript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t>nanoparticles on photocatalytic</w:t>
            </w:r>
          </w:p>
          <w:p w14:paraId="5CEAD24B">
            <w:pPr>
              <w:widowControl/>
              <w:jc w:val="center"/>
            </w:pPr>
            <w:r>
              <w:t>degradation performance of g-C3N4for tetracycline</w:t>
            </w:r>
          </w:p>
        </w:tc>
        <w:tc>
          <w:tcPr>
            <w:tcW w:w="1817" w:type="dxa"/>
            <w:tcBorders>
              <w:bottom w:val="single" w:color="000000" w:sz="12" w:space="0"/>
              <w:tl2br w:val="nil"/>
              <w:tr2bl w:val="nil"/>
            </w:tcBorders>
          </w:tcPr>
          <w:p w14:paraId="15894DE6">
            <w:pPr>
              <w:widowControl/>
              <w:jc w:val="center"/>
            </w:pPr>
            <w:r>
              <w:t>Journal of Chinese Chemical Society</w:t>
            </w:r>
            <w:r>
              <w:rPr>
                <w:rFonts w:hint="eastAsia"/>
              </w:rPr>
              <w:t>，2024年2月发表，2024（71）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</w:pPr>
            <w:r>
              <w:rPr>
                <w:rFonts w:hint="eastAsia"/>
              </w:rPr>
              <w:t>33.3%</w:t>
            </w:r>
          </w:p>
        </w:tc>
        <w:tc>
          <w:tcPr>
            <w:tcW w:w="931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02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 w14:paraId="1BD857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CC31120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274E4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09643241">
            <w:pPr>
              <w:widowControl/>
              <w:jc w:val="center"/>
            </w:pPr>
            <w:r>
              <w:rPr>
                <w:rFonts w:hint="eastAsia"/>
              </w:rPr>
              <w:t>B级</w:t>
            </w:r>
          </w:p>
        </w:tc>
        <w:tc>
          <w:tcPr>
            <w:tcW w:w="2417" w:type="dxa"/>
            <w:tcBorders>
              <w:bottom w:val="single" w:color="000000" w:sz="12" w:space="0"/>
              <w:tl2br w:val="nil"/>
              <w:tr2bl w:val="nil"/>
            </w:tcBorders>
          </w:tcPr>
          <w:p w14:paraId="63E8AF78">
            <w:pPr>
              <w:widowControl/>
              <w:jc w:val="center"/>
            </w:pPr>
            <w:r>
              <w:t>Boosting visible-light photocatalytic performance of graphitic carbon nitride by regulating its donor-acceptor structure via maleamide</w:t>
            </w:r>
          </w:p>
        </w:tc>
        <w:tc>
          <w:tcPr>
            <w:tcW w:w="1817" w:type="dxa"/>
            <w:tcBorders>
              <w:bottom w:val="single" w:color="000000" w:sz="12" w:space="0"/>
              <w:tl2br w:val="nil"/>
              <w:tr2bl w:val="nil"/>
            </w:tcBorders>
          </w:tcPr>
          <w:p w14:paraId="70A06FD9">
            <w:pPr>
              <w:widowControl/>
              <w:jc w:val="center"/>
            </w:pPr>
            <w:r>
              <w:t>Journal of Alloys and Compounds</w:t>
            </w:r>
            <w:r>
              <w:rPr>
                <w:rFonts w:hint="eastAsia"/>
              </w:rPr>
              <w:t>，2024年11月发表，2024（1005）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55EFCF31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31" w:type="dxa"/>
            <w:tcBorders>
              <w:bottom w:val="single" w:color="000000" w:sz="12" w:space="0"/>
              <w:tl2br w:val="nil"/>
              <w:tr2bl w:val="nil"/>
            </w:tcBorders>
          </w:tcPr>
          <w:p w14:paraId="6BEC7246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02" w:type="dxa"/>
            <w:tcBorders>
              <w:bottom w:val="single" w:color="000000" w:sz="12" w:space="0"/>
              <w:tl2br w:val="nil"/>
              <w:tr2bl w:val="nil"/>
            </w:tcBorders>
          </w:tcPr>
          <w:p w14:paraId="68E8E1B6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4927EDBD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235851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0DC8D5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07DE4EF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76878343">
            <w:pPr>
              <w:widowControl/>
              <w:jc w:val="center"/>
            </w:pPr>
            <w:r>
              <w:rPr>
                <w:rFonts w:hint="eastAsia"/>
              </w:rPr>
              <w:t>B级</w:t>
            </w:r>
          </w:p>
        </w:tc>
        <w:tc>
          <w:tcPr>
            <w:tcW w:w="2417" w:type="dxa"/>
            <w:tcBorders>
              <w:bottom w:val="single" w:color="000000" w:sz="12" w:space="0"/>
              <w:tl2br w:val="nil"/>
              <w:tr2bl w:val="nil"/>
            </w:tcBorders>
          </w:tcPr>
          <w:p w14:paraId="47C38A04">
            <w:pPr>
              <w:widowControl/>
              <w:jc w:val="center"/>
            </w:pPr>
            <w:r>
              <w:t>Boosting photocatalytic performance of polymeric carbon nitride by adjusting its donor-acceptor structure via functional group modification strategy</w:t>
            </w:r>
          </w:p>
        </w:tc>
        <w:tc>
          <w:tcPr>
            <w:tcW w:w="1817" w:type="dxa"/>
            <w:tcBorders>
              <w:bottom w:val="single" w:color="000000" w:sz="12" w:space="0"/>
              <w:tl2br w:val="nil"/>
              <w:tr2bl w:val="nil"/>
            </w:tcBorders>
          </w:tcPr>
          <w:p w14:paraId="33928BDA">
            <w:pPr>
              <w:widowControl/>
              <w:jc w:val="center"/>
            </w:pPr>
            <w:r>
              <w:rPr>
                <w:rFonts w:hint="eastAsia"/>
              </w:rPr>
              <w:t>Chemosphere,2024年9月发表，2024（364）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180C0037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31" w:type="dxa"/>
            <w:tcBorders>
              <w:bottom w:val="single" w:color="000000" w:sz="12" w:space="0"/>
              <w:tl2br w:val="nil"/>
              <w:tr2bl w:val="nil"/>
            </w:tcBorders>
          </w:tcPr>
          <w:p w14:paraId="1F71058A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02" w:type="dxa"/>
            <w:tcBorders>
              <w:bottom w:val="single" w:color="000000" w:sz="12" w:space="0"/>
              <w:tl2br w:val="nil"/>
              <w:tr2bl w:val="nil"/>
            </w:tcBorders>
          </w:tcPr>
          <w:p w14:paraId="4DEE448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48C75D6F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2417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  <w:r>
              <w:rPr>
                <w:rFonts w:hint="eastAsia"/>
              </w:rPr>
              <w:t>互联网时代下提高学生自主学习能力的策略分析——以《计算机专业应用》课程为例</w:t>
            </w:r>
          </w:p>
        </w:tc>
        <w:tc>
          <w:tcPr>
            <w:tcW w:w="1817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  <w:r>
              <w:rPr>
                <w:rFonts w:hint="eastAsia"/>
              </w:rPr>
              <w:t>数字化用户，2023年发表，2023年第29期</w:t>
            </w: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</w:p>
        </w:tc>
        <w:tc>
          <w:tcPr>
            <w:tcW w:w="931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02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14:paraId="430AE55E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281EB9D1">
      <w:pPr>
        <w:widowControl/>
      </w:pPr>
    </w:p>
    <w:p w14:paraId="436DD210"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75B5779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0046E4F">
      <w:pPr>
        <w:spacing w:before="156"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7426BFF4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p w14:paraId="5486181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A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Preparation Method and Application of Group-modified Graphitic Carbon Nitride Photocatalyst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/>
              </w:rPr>
              <w:t>ZA202311119B</w:t>
            </w: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发明专利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2024.6.26</w:t>
            </w: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400</w:t>
            </w:r>
          </w:p>
          <w:p w14:paraId="72DB75AF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569D218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无</w:t>
            </w: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D8FD6F0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33FFA430">
      <w:pPr>
        <w:widowControl/>
        <w:jc w:val="left"/>
      </w:pPr>
    </w:p>
    <w:p w14:paraId="202258C4">
      <w:pPr>
        <w:widowControl/>
        <w:jc w:val="center"/>
        <w:rPr>
          <w:rFonts w:hint="eastAsia" w:asciiTheme="minorEastAsia" w:hAnsiTheme="minorEastAsia"/>
          <w:b/>
          <w:szCs w:val="21"/>
        </w:rPr>
      </w:pPr>
    </w:p>
    <w:p w14:paraId="60B41E6C">
      <w:pPr>
        <w:widowControl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47FCEF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8FFF4C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E5F63A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7C7E7E7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1BC7818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C155F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70C8FF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723BBB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D7313E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2CFAB2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200</w:t>
            </w:r>
          </w:p>
        </w:tc>
        <w:tc>
          <w:tcPr>
            <w:tcW w:w="1134" w:type="dxa"/>
            <w:vAlign w:val="center"/>
          </w:tcPr>
          <w:p w14:paraId="03E7063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1670</w:t>
            </w:r>
          </w:p>
        </w:tc>
        <w:tc>
          <w:tcPr>
            <w:tcW w:w="1418" w:type="dxa"/>
            <w:vAlign w:val="center"/>
          </w:tcPr>
          <w:p w14:paraId="50E715A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C3734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935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CDAD5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DA35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88886E2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8AB8EB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8E59F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1D687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B3E59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31FC786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3C1ED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3E1763B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2591F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1A37E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8E09BC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7BC4CD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80C87C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61B6C7A6">
      <w:pPr>
        <w:widowControl/>
        <w:jc w:val="left"/>
        <w:rPr>
          <w:rFonts w:hint="eastAsia"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40C028BD">
      <w:pPr>
        <w:widowControl/>
        <w:jc w:val="left"/>
      </w:pPr>
    </w:p>
    <w:p w14:paraId="79ADBB9C">
      <w:pPr>
        <w:widowControl/>
        <w:jc w:val="left"/>
      </w:pPr>
      <w:r>
        <w:br w:type="page"/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BD6B1F3"/>
          <w:p w14:paraId="280BA596"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爱岗敬业，无私奉献</w:t>
            </w:r>
          </w:p>
          <w:p w14:paraId="2DCE18FA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在思想上积极上进，乐于助人，积极参与公共活动。疫情期间作为教师志愿者多次参加核酸检测工作，热情服务校内师生。在教学工作中，认真严谨，致力于上好每一节课。关心每一个同学的学习和身心发展，努力为学生打造丰富有趣的课堂体验，并基于课堂教学内容立项校级教改项目1项。带领学生参与多项大学生创新创业项目，认真指导本科生毕业论文，积极参与学院的研究生管理工作。主动参与师范专业学生实习驻点教师工作，圆满完成带队任务。</w:t>
            </w:r>
          </w:p>
          <w:p w14:paraId="0730633E">
            <w:pPr>
              <w:pStyle w:val="12"/>
              <w:spacing w:line="360" w:lineRule="auto"/>
              <w:ind w:left="432"/>
            </w:pPr>
          </w:p>
          <w:p w14:paraId="380A70FB"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勤奋科研，潜心学术</w:t>
            </w:r>
          </w:p>
          <w:p w14:paraId="3082E813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就职海南师范大学后，积极开展科研工作、主持海南省自然科学基金1项。于2022年获得硕士生导师资格并开始独立培养研究生，2024年指导的硕士研究生黄明秀获得研究生国家奖学金。入职海师后发表SCI论文10余篇，其中包括一篇1区top、两篇2区top论文，申请发明专利两项、获得授权1项。</w:t>
            </w:r>
          </w:p>
          <w:p w14:paraId="6F8561AC">
            <w:pPr>
              <w:pStyle w:val="12"/>
              <w:spacing w:line="360" w:lineRule="auto"/>
              <w:ind w:left="432"/>
            </w:pPr>
          </w:p>
          <w:p w14:paraId="312E6302"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依托团队，共同进步</w:t>
            </w:r>
          </w:p>
          <w:p w14:paraId="2B189D02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积极参与功能材料化学团队的建设并成为技术骨干，参与建设的平包括海南省激光技术与光电功能材料重点实验室、海口市功能材料与光电化学重点实验室、海南省李长明院士工作站、海洋先进光电功能材料海南省国际联合研究中心、热带海洋先进光电功能材料海南省工程研究中心等。</w:t>
            </w:r>
          </w:p>
          <w:p w14:paraId="1DCCAD28">
            <w:pPr>
              <w:spacing w:line="360" w:lineRule="auto"/>
              <w:ind w:firstLine="420" w:firstLineChars="200"/>
            </w:pPr>
          </w:p>
          <w:p w14:paraId="1BA8DE6E"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教学相长，砥砺前行</w:t>
            </w:r>
          </w:p>
          <w:p w14:paraId="41862C89">
            <w:pPr>
              <w:pStyle w:val="12"/>
              <w:spacing w:line="360" w:lineRule="auto"/>
            </w:pPr>
            <w:r>
              <w:rPr>
                <w:rFonts w:hint="eastAsia"/>
              </w:rPr>
              <w:t>在本科生和研究生教学指导过程中，我深知自身的知识储备有待加强，所以只有不断地学习使自己持续进步，努力克服教学和科研上的壁垒，才能教出综合素质出众的学生，完成教育者的使命。</w:t>
            </w:r>
          </w:p>
          <w:p w14:paraId="4DB51592"/>
          <w:p w14:paraId="3D1B64C7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366069BF"/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王贝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化学与化工学院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教学科研型副教授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D864A3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王贝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同志的申报材料真实完整，并经        </w:t>
            </w:r>
          </w:p>
          <w:p w14:paraId="3B485B88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   月   日至    月   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教学科研型副教授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Boosting visible-light photocatalytic performance of graphitic carbon nitride by regulating its donor-acceptor structure via maleamide. Journal of Alloys and Compounds, 2024, 1005, 176067.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Enhanced visible-light photocatalytic activity of ZrO</w:t>
            </w:r>
            <w:r>
              <w:rPr>
                <w:rFonts w:ascii="Times New Roman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/gCN composite by introducing nitrogen vacancies with H</w:t>
            </w:r>
            <w:r>
              <w:rPr>
                <w:rFonts w:ascii="Times New Roman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plasma treatment. Journal of Photochemistry &amp; Photobiology, A: Chemistry, 2024, 448, 115324.</w:t>
            </w: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226999D1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3D9A892C">
            <w:pPr>
              <w:pStyle w:val="8"/>
              <w:rPr>
                <w:kern w:val="0"/>
              </w:rPr>
            </w:pPr>
          </w:p>
          <w:p w14:paraId="06199F8E">
            <w:pPr>
              <w:pStyle w:val="8"/>
              <w:rPr>
                <w:kern w:val="0"/>
              </w:rPr>
            </w:pPr>
          </w:p>
          <w:p w14:paraId="385517BF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BC4AEB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F75590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576A7B"/>
    <w:multiLevelType w:val="multilevel"/>
    <w:tmpl w:val="27576A7B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457A"/>
    <w:rsid w:val="00035ADA"/>
    <w:rsid w:val="00047CC0"/>
    <w:rsid w:val="00050B41"/>
    <w:rsid w:val="00052874"/>
    <w:rsid w:val="00057965"/>
    <w:rsid w:val="00067371"/>
    <w:rsid w:val="000734BB"/>
    <w:rsid w:val="000835E5"/>
    <w:rsid w:val="000866F4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5650"/>
    <w:rsid w:val="000C7246"/>
    <w:rsid w:val="000D559F"/>
    <w:rsid w:val="000E1FCC"/>
    <w:rsid w:val="000E3B0E"/>
    <w:rsid w:val="000E777B"/>
    <w:rsid w:val="000F1493"/>
    <w:rsid w:val="000F2B39"/>
    <w:rsid w:val="000F7252"/>
    <w:rsid w:val="00100416"/>
    <w:rsid w:val="00102860"/>
    <w:rsid w:val="001034FB"/>
    <w:rsid w:val="00106765"/>
    <w:rsid w:val="00110033"/>
    <w:rsid w:val="001152EC"/>
    <w:rsid w:val="00123022"/>
    <w:rsid w:val="0012343B"/>
    <w:rsid w:val="00126031"/>
    <w:rsid w:val="0012740F"/>
    <w:rsid w:val="0012753C"/>
    <w:rsid w:val="00136E7A"/>
    <w:rsid w:val="00160D6D"/>
    <w:rsid w:val="00163F01"/>
    <w:rsid w:val="001650A1"/>
    <w:rsid w:val="00167220"/>
    <w:rsid w:val="00171343"/>
    <w:rsid w:val="00187EAB"/>
    <w:rsid w:val="00192A61"/>
    <w:rsid w:val="001937B2"/>
    <w:rsid w:val="001937B4"/>
    <w:rsid w:val="001B0A30"/>
    <w:rsid w:val="001B2C61"/>
    <w:rsid w:val="001B54C1"/>
    <w:rsid w:val="001C4443"/>
    <w:rsid w:val="001D2597"/>
    <w:rsid w:val="001E1E38"/>
    <w:rsid w:val="00211798"/>
    <w:rsid w:val="00213331"/>
    <w:rsid w:val="00216FF6"/>
    <w:rsid w:val="00226AC5"/>
    <w:rsid w:val="002270A7"/>
    <w:rsid w:val="002326D9"/>
    <w:rsid w:val="002347B7"/>
    <w:rsid w:val="00243159"/>
    <w:rsid w:val="00247B30"/>
    <w:rsid w:val="00253B30"/>
    <w:rsid w:val="00257618"/>
    <w:rsid w:val="00261585"/>
    <w:rsid w:val="0026427D"/>
    <w:rsid w:val="00267D25"/>
    <w:rsid w:val="00271356"/>
    <w:rsid w:val="002859E6"/>
    <w:rsid w:val="00295BBE"/>
    <w:rsid w:val="002A1098"/>
    <w:rsid w:val="002A1AE0"/>
    <w:rsid w:val="002B5D77"/>
    <w:rsid w:val="002C2E4D"/>
    <w:rsid w:val="002E39E3"/>
    <w:rsid w:val="002E42F6"/>
    <w:rsid w:val="002F1EC4"/>
    <w:rsid w:val="00312C89"/>
    <w:rsid w:val="00314EE7"/>
    <w:rsid w:val="00315AAE"/>
    <w:rsid w:val="00317087"/>
    <w:rsid w:val="003220AD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85EE0"/>
    <w:rsid w:val="0039460C"/>
    <w:rsid w:val="003B5BA5"/>
    <w:rsid w:val="003B7454"/>
    <w:rsid w:val="003C6F7B"/>
    <w:rsid w:val="003D5CAF"/>
    <w:rsid w:val="003D6C2A"/>
    <w:rsid w:val="003D6CCE"/>
    <w:rsid w:val="003E3539"/>
    <w:rsid w:val="003F5A64"/>
    <w:rsid w:val="003F6AC8"/>
    <w:rsid w:val="003F7723"/>
    <w:rsid w:val="00403377"/>
    <w:rsid w:val="004039A1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1CE3"/>
    <w:rsid w:val="004849BB"/>
    <w:rsid w:val="00492E46"/>
    <w:rsid w:val="00495AB1"/>
    <w:rsid w:val="004A2B71"/>
    <w:rsid w:val="004A7AE8"/>
    <w:rsid w:val="004B1AFD"/>
    <w:rsid w:val="004B1CCE"/>
    <w:rsid w:val="004C36A3"/>
    <w:rsid w:val="004C6EE2"/>
    <w:rsid w:val="004D5EAE"/>
    <w:rsid w:val="004E6217"/>
    <w:rsid w:val="004E65CB"/>
    <w:rsid w:val="004E7A54"/>
    <w:rsid w:val="004F21A1"/>
    <w:rsid w:val="00500D2B"/>
    <w:rsid w:val="00501DE0"/>
    <w:rsid w:val="00507D8E"/>
    <w:rsid w:val="00511EE8"/>
    <w:rsid w:val="00523155"/>
    <w:rsid w:val="005263B4"/>
    <w:rsid w:val="00535A0B"/>
    <w:rsid w:val="00543465"/>
    <w:rsid w:val="0055376C"/>
    <w:rsid w:val="005617BD"/>
    <w:rsid w:val="00565F0F"/>
    <w:rsid w:val="0057651F"/>
    <w:rsid w:val="0057729A"/>
    <w:rsid w:val="00580981"/>
    <w:rsid w:val="00583E93"/>
    <w:rsid w:val="00590764"/>
    <w:rsid w:val="005B6A8B"/>
    <w:rsid w:val="005C4F99"/>
    <w:rsid w:val="005E06B1"/>
    <w:rsid w:val="005E3440"/>
    <w:rsid w:val="005E58F4"/>
    <w:rsid w:val="005F645A"/>
    <w:rsid w:val="00607D1E"/>
    <w:rsid w:val="00621660"/>
    <w:rsid w:val="00622561"/>
    <w:rsid w:val="0062256C"/>
    <w:rsid w:val="00623BB8"/>
    <w:rsid w:val="0063263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6F5EE0"/>
    <w:rsid w:val="007031A9"/>
    <w:rsid w:val="00703E44"/>
    <w:rsid w:val="00713721"/>
    <w:rsid w:val="00714623"/>
    <w:rsid w:val="00724356"/>
    <w:rsid w:val="00726430"/>
    <w:rsid w:val="007313BA"/>
    <w:rsid w:val="00734128"/>
    <w:rsid w:val="007415CC"/>
    <w:rsid w:val="00741F1A"/>
    <w:rsid w:val="00746377"/>
    <w:rsid w:val="007551B0"/>
    <w:rsid w:val="00763911"/>
    <w:rsid w:val="00777776"/>
    <w:rsid w:val="0078130D"/>
    <w:rsid w:val="0079491F"/>
    <w:rsid w:val="007965C2"/>
    <w:rsid w:val="007A6787"/>
    <w:rsid w:val="007A6B08"/>
    <w:rsid w:val="007A6DCF"/>
    <w:rsid w:val="007C1424"/>
    <w:rsid w:val="007C4C8E"/>
    <w:rsid w:val="007E19F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41546"/>
    <w:rsid w:val="00850132"/>
    <w:rsid w:val="00855D32"/>
    <w:rsid w:val="008653D4"/>
    <w:rsid w:val="00867374"/>
    <w:rsid w:val="008678EB"/>
    <w:rsid w:val="00872E0F"/>
    <w:rsid w:val="008764C0"/>
    <w:rsid w:val="00876F0D"/>
    <w:rsid w:val="00877D67"/>
    <w:rsid w:val="00882519"/>
    <w:rsid w:val="00894606"/>
    <w:rsid w:val="0089698F"/>
    <w:rsid w:val="008B4063"/>
    <w:rsid w:val="008B5E5E"/>
    <w:rsid w:val="008B687A"/>
    <w:rsid w:val="008C1CA7"/>
    <w:rsid w:val="008C4C0F"/>
    <w:rsid w:val="008D60E5"/>
    <w:rsid w:val="008E5317"/>
    <w:rsid w:val="008E6462"/>
    <w:rsid w:val="008F5B93"/>
    <w:rsid w:val="00902DB2"/>
    <w:rsid w:val="00905296"/>
    <w:rsid w:val="00912A23"/>
    <w:rsid w:val="00927B7A"/>
    <w:rsid w:val="009332E6"/>
    <w:rsid w:val="009363D5"/>
    <w:rsid w:val="00956364"/>
    <w:rsid w:val="00956FEE"/>
    <w:rsid w:val="00957911"/>
    <w:rsid w:val="009624BB"/>
    <w:rsid w:val="00962F66"/>
    <w:rsid w:val="00967876"/>
    <w:rsid w:val="00971115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0450"/>
    <w:rsid w:val="00A377FB"/>
    <w:rsid w:val="00A600A4"/>
    <w:rsid w:val="00A6412A"/>
    <w:rsid w:val="00A64CA0"/>
    <w:rsid w:val="00A74B54"/>
    <w:rsid w:val="00A80BA1"/>
    <w:rsid w:val="00AA252B"/>
    <w:rsid w:val="00AB4B1E"/>
    <w:rsid w:val="00AD5CCC"/>
    <w:rsid w:val="00AE18A7"/>
    <w:rsid w:val="00AE6938"/>
    <w:rsid w:val="00AF2BB3"/>
    <w:rsid w:val="00AF445F"/>
    <w:rsid w:val="00B030CF"/>
    <w:rsid w:val="00B036DE"/>
    <w:rsid w:val="00B06BF4"/>
    <w:rsid w:val="00B07F41"/>
    <w:rsid w:val="00B16465"/>
    <w:rsid w:val="00B20A8D"/>
    <w:rsid w:val="00B210C0"/>
    <w:rsid w:val="00B215F6"/>
    <w:rsid w:val="00B22E22"/>
    <w:rsid w:val="00B27696"/>
    <w:rsid w:val="00B54078"/>
    <w:rsid w:val="00B5440C"/>
    <w:rsid w:val="00B80533"/>
    <w:rsid w:val="00B82843"/>
    <w:rsid w:val="00B9275E"/>
    <w:rsid w:val="00B95BD9"/>
    <w:rsid w:val="00BA646C"/>
    <w:rsid w:val="00BB52F4"/>
    <w:rsid w:val="00BC7F6D"/>
    <w:rsid w:val="00BD1A32"/>
    <w:rsid w:val="00BD4E90"/>
    <w:rsid w:val="00BE1DB9"/>
    <w:rsid w:val="00BF0225"/>
    <w:rsid w:val="00BF37BD"/>
    <w:rsid w:val="00C008D8"/>
    <w:rsid w:val="00C0165A"/>
    <w:rsid w:val="00C03354"/>
    <w:rsid w:val="00C34D75"/>
    <w:rsid w:val="00C35A03"/>
    <w:rsid w:val="00C3645D"/>
    <w:rsid w:val="00C53042"/>
    <w:rsid w:val="00C6384D"/>
    <w:rsid w:val="00C65AB8"/>
    <w:rsid w:val="00C722D7"/>
    <w:rsid w:val="00C746C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69CF"/>
    <w:rsid w:val="00CD7981"/>
    <w:rsid w:val="00CE15B9"/>
    <w:rsid w:val="00CF348C"/>
    <w:rsid w:val="00CF6E1A"/>
    <w:rsid w:val="00D03759"/>
    <w:rsid w:val="00D20B34"/>
    <w:rsid w:val="00D273BE"/>
    <w:rsid w:val="00D338CB"/>
    <w:rsid w:val="00D36A37"/>
    <w:rsid w:val="00D3748A"/>
    <w:rsid w:val="00D416C2"/>
    <w:rsid w:val="00D41CF0"/>
    <w:rsid w:val="00D66B57"/>
    <w:rsid w:val="00D90EC8"/>
    <w:rsid w:val="00DA36E9"/>
    <w:rsid w:val="00DA3AD6"/>
    <w:rsid w:val="00DA6B66"/>
    <w:rsid w:val="00DB02E4"/>
    <w:rsid w:val="00DB42ED"/>
    <w:rsid w:val="00DB7DA7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0E81"/>
    <w:rsid w:val="00E161A5"/>
    <w:rsid w:val="00E206F2"/>
    <w:rsid w:val="00E37B1A"/>
    <w:rsid w:val="00E55EEB"/>
    <w:rsid w:val="00E57AA4"/>
    <w:rsid w:val="00E602D1"/>
    <w:rsid w:val="00E603BA"/>
    <w:rsid w:val="00E61743"/>
    <w:rsid w:val="00E62D0D"/>
    <w:rsid w:val="00E713EE"/>
    <w:rsid w:val="00EA02F0"/>
    <w:rsid w:val="00EA2543"/>
    <w:rsid w:val="00EA5CB0"/>
    <w:rsid w:val="00EB1023"/>
    <w:rsid w:val="00ED30F2"/>
    <w:rsid w:val="00EE2F78"/>
    <w:rsid w:val="00EE3937"/>
    <w:rsid w:val="00EE5924"/>
    <w:rsid w:val="00EE79DB"/>
    <w:rsid w:val="00EF7EDC"/>
    <w:rsid w:val="00F02B0D"/>
    <w:rsid w:val="00F0751F"/>
    <w:rsid w:val="00F11480"/>
    <w:rsid w:val="00F15B17"/>
    <w:rsid w:val="00F1668D"/>
    <w:rsid w:val="00F200F9"/>
    <w:rsid w:val="00F22090"/>
    <w:rsid w:val="00F24010"/>
    <w:rsid w:val="00F24A17"/>
    <w:rsid w:val="00F25C10"/>
    <w:rsid w:val="00F269BB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C5F9D"/>
    <w:rsid w:val="00FD5538"/>
    <w:rsid w:val="00FE1E5E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BF0E1F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F214EF"/>
    <w:rsid w:val="62EA7456"/>
    <w:rsid w:val="66FD1A98"/>
    <w:rsid w:val="6AC141C7"/>
    <w:rsid w:val="6CEC63D9"/>
    <w:rsid w:val="7265409A"/>
    <w:rsid w:val="7B8513BE"/>
    <w:rsid w:val="7C55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20</Pages>
  <Words>3550</Words>
  <Characters>4147</Characters>
  <Lines>95</Lines>
  <Paragraphs>26</Paragraphs>
  <TotalTime>1160</TotalTime>
  <ScaleCrop>false</ScaleCrop>
  <LinksUpToDate>false</LinksUpToDate>
  <CharactersWithSpaces>4601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会跳舞的小丑</cp:lastModifiedBy>
  <cp:lastPrinted>2022-11-17T03:10:00Z</cp:lastPrinted>
  <dcterms:modified xsi:type="dcterms:W3CDTF">2025-06-13T07:48:38Z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